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wal87srin3p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1pxezwc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recognizes its obligation to keep its employees safe from harm. It further understands that people who supervise or direct the work of others have a legal duty to keep those workers safe from harm.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“Person directing work” means any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It not only applies to persons with a title of supervisor or manager, but anyone acting in that capacity, even temporarily.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understands that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Further, 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Regulations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refuse work that they believe is dangerous to their health and safety or that of any other worker in the workplace.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Regulations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sets out certain specific duties for workplace supervisors. A supervisor must: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comply with their duties under occupational health and safety to: 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in compliance with all regulations 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to the employer or supervisor any known missing or defective equipment or protective device that may endanger the worker or another worker 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any hazard or contravention of the regulations to the employer or supervisor 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leader="none" w:pos="4596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ryIIHcuE1wtshKc/Jh1llsxJg==">CgMxLjAyDmgud2FsODdzcmluM3BmMgloLjFweGV6d2M4AHIhMTNwRHB2NnZxSUswYUpCWlJSVF9VYXN3Zlc3NUFydmYt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